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1700"/>
        <w:gridCol w:w="1844"/>
        <w:gridCol w:w="3367"/>
      </w:tblGrid>
      <w:tr>
        <w:tblPrEx/>
        <w:trPr>
          <w:trHeight w:val="964" w:hRule="exact"/>
        </w:trPr>
        <w:tc>
          <w:tcPr>
            <w:gridSpan w:val="4"/>
            <w:tcW w:w="10421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Calibri" w:cs="Times New Roman"/>
              </w:rPr>
            </w:pPr>
            <w:r/>
            <w:bookmarkStart w:id="0" w:name="_GoBack"/>
            <w:r/>
            <w:bookmarkEnd w:id="0"/>
            <w:r>
              <w:rPr>
                <w:rFonts w:ascii="Calibri" w:hAnsi="Calibri" w:eastAsia="Calibri" w:cs="Times New Roman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523875" cy="581025"/>
                      <wp:effectExtent l="0" t="0" r="9525" b="9525"/>
                      <wp:docPr id="1" name="Рисунок 1" descr="333_1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Рисунок 0" descr="333_1.jpg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>
                              <a:blip r:embed="rId9"/>
                              <a:stretch/>
                            </pic:blipFill>
                            <pic:spPr bwMode="auto">
                              <a:xfrm>
                                <a:off x="0" y="0"/>
                                <a:ext cx="523875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width:41.25pt;height:45.75pt;mso-wrap-distance-left:0.00pt;mso-wrap-distance-top:0.00pt;mso-wrap-distance-right:0.00pt;mso-wrap-distance-bottom:0.00pt;" stroked="f">
                      <v:path textboxrect="0,0,0,0"/>
                      <v:imagedata r:id="rId9" o:title=""/>
                    </v:shape>
                  </w:pict>
                </mc:Fallback>
              </mc:AlternateContent>
            </w:r>
            <w:r>
              <w:rPr>
                <w:rFonts w:ascii="Calibri" w:hAnsi="Calibri" w:eastAsia="Calibri" w:cs="Times New Roman"/>
              </w:rPr>
            </w:r>
          </w:p>
        </w:tc>
      </w:tr>
      <w:tr>
        <w:tblPrEx/>
        <w:trPr>
          <w:trHeight w:val="2124" w:hRule="exact"/>
        </w:trPr>
        <w:tc>
          <w:tcPr>
            <w:gridSpan w:val="4"/>
            <w:tcW w:w="10421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</w:rPr>
              <w:t xml:space="preserve">ПРОФЕССИОНАЛЬНЫЙ СОЮЗ РАБОТНИКОВ НАРОДНОГО ОБРАЗОВАНИЯ И НАУКИ РОССИЙСКОЙ ФЕДЕРАЦИИ</w:t>
            </w:r>
            <w:r>
              <w:rPr>
                <w:rFonts w:ascii="Times New Roman" w:hAnsi="Times New Roman" w:eastAsia="Calibri" w:cs="Times New Roman"/>
                <w:sz w:val="16"/>
                <w:szCs w:val="16"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 xml:space="preserve">ТЕРРИТОРИАЛЬНАЯ ОРГАНИЗАЦИЯ ПРОФЕССИОНАЛЬНОГО СОЮЗА </w:t>
            </w:r>
            <w:r>
              <w:rPr>
                <w:rFonts w:ascii="Times New Roman" w:hAnsi="Times New Roman" w:eastAsia="Calibri" w:cs="Times New Roman"/>
                <w:b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 xml:space="preserve">РАБОТНИКОВ НАРОДНОГО ОБРАЗОВАНИЯ И НАУКИ РОССИЙСКОЙ ФЕДЕРАЦИИ</w:t>
            </w:r>
            <w:r>
              <w:rPr>
                <w:rFonts w:ascii="Times New Roman" w:hAnsi="Times New Roman" w:eastAsia="Calibri" w:cs="Times New Roman"/>
                <w:b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 xml:space="preserve">КРАСНООКТЯБРЬ</w:t>
            </w:r>
            <w:r>
              <w:rPr>
                <w:rFonts w:ascii="Times New Roman" w:hAnsi="Times New Roman" w:eastAsia="Calibri" w:cs="Times New Roman"/>
                <w:b/>
              </w:rPr>
              <w:t xml:space="preserve">СК</w:t>
            </w:r>
            <w:r>
              <w:rPr>
                <w:rFonts w:ascii="Times New Roman" w:hAnsi="Times New Roman" w:eastAsia="Calibri" w:cs="Times New Roman"/>
                <w:b/>
              </w:rPr>
              <w:t xml:space="preserve">ОГО РАЙОНА ВОЛГОГРАДА</w:t>
            </w:r>
            <w:r>
              <w:rPr>
                <w:rFonts w:ascii="Times New Roman" w:hAnsi="Times New Roman" w:eastAsia="Calibri" w:cs="Times New Roman"/>
                <w:b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</w:rPr>
              <w:t xml:space="preserve">(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ТЕРРИТОРИАЛЬНАЯ ОРГАНИЗАЦИЯ ОБЩЕРОССИЙСКОГО ПРОФСОЮЗА ОБРАЗОВАНИЯ 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КРАСНООКТЯБРЬ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СК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ОГО РАЙОНА ВОЛГОГРАДА</w:t>
            </w:r>
            <w:r>
              <w:rPr>
                <w:rFonts w:ascii="Times New Roman" w:hAnsi="Times New Roman" w:eastAsia="Calibri" w:cs="Times New Roman"/>
                <w:sz w:val="16"/>
                <w:szCs w:val="16"/>
              </w:rPr>
              <w:t xml:space="preserve">)</w:t>
            </w:r>
            <w:r>
              <w:rPr>
                <w:rFonts w:ascii="Times New Roman" w:hAnsi="Times New Roman" w:eastAsia="Calibri" w:cs="Times New Roman"/>
                <w:sz w:val="16"/>
                <w:szCs w:val="16"/>
              </w:rPr>
            </w:r>
          </w:p>
          <w:p>
            <w:pPr>
              <w:jc w:val="center"/>
              <w:keepNext/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  <w:t xml:space="preserve">ПРЕЗИДИУМ</w:t>
            </w:r>
            <w:r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</w:r>
          </w:p>
          <w:p>
            <w:pPr>
              <w:jc w:val="center"/>
              <w:keepNext/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36"/>
                <w:szCs w:val="36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36"/>
                <w:szCs w:val="36"/>
              </w:rPr>
              <w:t xml:space="preserve">ПОСТАНОВЛЕНИЕ</w:t>
            </w:r>
            <w:r>
              <w:rPr>
                <w:rFonts w:ascii="Times New Roman" w:hAnsi="Times New Roman" w:eastAsia="Times New Roman" w:cs="Times New Roman"/>
                <w:b/>
                <w:bCs/>
                <w:sz w:val="36"/>
                <w:szCs w:val="36"/>
              </w:rPr>
            </w:r>
          </w:p>
        </w:tc>
      </w:tr>
      <w:tr>
        <w:tblPrEx/>
        <w:trPr>
          <w:trHeight w:val="794" w:hRule="exact"/>
        </w:trPr>
        <w:tc>
          <w:tcPr>
            <w:tcBorders>
              <w:top w:val="single" w:color="auto" w:sz="12" w:space="0"/>
            </w:tcBorders>
            <w:tcW w:w="351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br/>
              <w:t xml:space="preserve">«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28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»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января 2026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г.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auto" w:sz="12" w:space="0"/>
            </w:tcBorders>
            <w:tcW w:w="3544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г.Волгоград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  <w:tc>
          <w:tcPr>
            <w:tcBorders>
              <w:top w:val="single" w:color="auto" w:sz="12" w:space="0"/>
            </w:tcBorders>
            <w:tcW w:w="3367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br/>
              <w:t xml:space="preserve">№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1/1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</w:tr>
      <w:tr>
        <w:tblPrEx/>
        <w:trPr>
          <w:trHeight w:val="223"/>
        </w:trPr>
        <w:tc>
          <w:tcPr>
            <w:gridSpan w:val="2"/>
            <w:tcW w:w="5210" w:type="dxa"/>
            <w:textDirection w:val="lrTb"/>
            <w:noWrap w:val="false"/>
          </w:tcPr>
          <w:p>
            <w:pPr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  <w:tc>
          <w:tcPr>
            <w:gridSpan w:val="2"/>
            <w:tcW w:w="5211" w:type="dxa"/>
            <w:textDirection w:val="lrTb"/>
            <w:noWrap w:val="false"/>
          </w:tcPr>
          <w:p>
            <w:pPr>
              <w:ind w:right="6236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</w:tr>
    </w:tbl>
    <w:p>
      <w:pPr>
        <w:ind w:right="5102"/>
        <w:spacing w:after="0" w:line="240" w:lineRule="auto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Об утверждении положения о материальной помощи</w:t>
      </w:r>
      <w:r>
        <w:rPr>
          <w:rFonts w:ascii="Times New Roman" w:hAnsi="Times New Roman" w:eastAsia="Times New Roman" w:cs="Times New Roman"/>
          <w:i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36"/>
          <w:szCs w:val="36"/>
        </w:rPr>
      </w:pPr>
      <w:r>
        <w:rPr>
          <w:rFonts w:ascii="Times New Roman" w:hAnsi="Times New Roman" w:eastAsia="Times New Roman" w:cs="Times New Roman"/>
          <w:color w:val="000000"/>
          <w:sz w:val="40"/>
          <w:szCs w:val="40"/>
        </w:rPr>
        <w:t xml:space="preserve">                    </w:t>
      </w:r>
      <w:r>
        <w:rPr>
          <w:rFonts w:ascii="Times New Roman" w:hAnsi="Times New Roman" w:eastAsia="Times New Roman" w:cs="Times New Roman"/>
          <w:color w:val="000000"/>
          <w:sz w:val="36"/>
          <w:szCs w:val="36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целях выполнения Федерального закона «О профессиональных союзах, их правах и гарантиях деятельности», Устава Проф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ессионального союза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работников народного образования и науки Российской Федерации (далее – Устав Профсоюза)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,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Президиум территориальной организации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Профсоюза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           постановляет: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твердить Положение об оказании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материальной по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мощи членам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Профсоюза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 новой редакции (прилагается)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Положение о материальной помощи членам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Профсоюза  вступает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в силу с 28.01.2026 года.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Контроль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за исполнением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данного постанов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ления возложить на президиум</w:t>
      </w:r>
      <w: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Территориальной организации Профсоюза Краснооктябрьского района Волгограда.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Председатель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ерриториальной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организации Профсоюза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Краснооктябрьского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района Волгограда                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             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 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С.Е.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Горбунова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ind w:left="4678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Arial" w:hAnsi="Arial" w:eastAsia="Times New Roman" w:cs="Arial"/>
          <w:color w:val="000000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Приложение 1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ind w:left="4678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 постановлению Президиума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от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28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.01.20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26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г.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№1/1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Arial" w:hAnsi="Arial" w:eastAsia="Times New Roman" w:cs="Arial"/>
          <w:color w:val="000000"/>
        </w:rPr>
      </w:pPr>
      <w:r>
        <w:rPr>
          <w:rFonts w:ascii="Arial" w:hAnsi="Arial" w:eastAsia="Times New Roman" w:cs="Arial"/>
          <w:color w:val="000000"/>
        </w:rPr>
      </w:r>
      <w:r>
        <w:rPr>
          <w:rFonts w:ascii="Arial" w:hAnsi="Arial" w:eastAsia="Times New Roman" w:cs="Arial"/>
          <w:color w:val="000000"/>
        </w:rPr>
      </w:r>
    </w:p>
    <w:p>
      <w:pPr>
        <w:spacing w:after="0" w:line="240" w:lineRule="auto"/>
        <w:rPr>
          <w:rFonts w:ascii="Arial" w:hAnsi="Arial" w:eastAsia="Times New Roman" w:cs="Arial"/>
          <w:color w:val="000000"/>
        </w:rPr>
      </w:pPr>
      <w:r>
        <w:rPr>
          <w:rFonts w:ascii="Arial" w:hAnsi="Arial" w:eastAsia="Times New Roman" w:cs="Arial"/>
          <w:color w:val="000000"/>
        </w:rPr>
      </w:r>
      <w:r>
        <w:rPr>
          <w:rFonts w:ascii="Arial" w:hAnsi="Arial" w:eastAsia="Times New Roman" w:cs="Arial"/>
          <w:color w:val="000000"/>
        </w:rPr>
      </w:r>
    </w:p>
    <w:p>
      <w:pPr>
        <w:ind w:firstLine="709"/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ПОЛОЖЕНИЕ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об оказании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материальной помощи членам Профсоюза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ind w:firstLine="709"/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ind w:firstLine="709"/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val="en-US"/>
        </w:rPr>
        <w:t xml:space="preserve">I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. ОБЩИЕ ПОЛОЖЕНИЯ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1. Настоящее Положение разработано в соот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ветствии с Федеральным законом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«О профессиональных союзах, их правах и гарантиях деятельности», другими федеральными законами и иными нормативными правовыми актами Российской Федерации, Уставом Проф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ессионального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союза работников народного образования и науки Российской Федерации (далее – Устав Профсоюза), определяет порядок и размер оказания материальной помощи членам Профсоюза.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color w:val="ff0000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2. Члены Профсоюза имеют право в с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оответствии с пунктом 4 статьи 8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Устава Профсоюза получать материальную помощь в порядке и размерах, устанавливаемых соответствующим выборным коллегиальным профсоюзным органом </w:t>
      </w:r>
      <w:r>
        <w:rPr>
          <w:rFonts w:ascii="Times New Roman" w:hAnsi="Times New Roman" w:eastAsia="Times New Roman" w:cs="Times New Roman"/>
          <w:color w:val="262626"/>
          <w:sz w:val="28"/>
          <w:szCs w:val="28"/>
        </w:rPr>
        <w:t xml:space="preserve">с учетом профсоюзного стажа.</w:t>
      </w:r>
      <w:r>
        <w:rPr>
          <w:rFonts w:ascii="Times New Roman" w:hAnsi="Times New Roman" w:eastAsia="Times New Roman" w:cs="Times New Roman"/>
          <w:color w:val="ff0000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val="en-US"/>
        </w:rPr>
        <w:t xml:space="preserve">II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. ПОРЯДОК ОКАЗАНИЯ МАТЕРИАЛЬНОЙ ПОМОЩИ ЧЛЕНАМ ПРОФСОЮЗА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3. Выплата материальной помощи членам Профсоюза осуществляется с</w:t>
      </w:r>
      <w:r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учетом продолжительности профсоюзного стажа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: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 чрезвычайными обстоятельствами (стихийные бедствия, пожары и т.п.)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5000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случае смерти члена Профсоюза (члена семьи)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: родители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200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0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, дети/супруг(а)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 наступлении заболевания, требующего хирургической операции, стационарного лечения, длительного амбулаторного лечения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члена Профсоюза или его несовершеннолетнего ребёнка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 повреждением или уничтожением имущества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5000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со сложным материальным положением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1000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 онкологическим заболеванием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5000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 рождением ребенка – 3000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 посещением санаториев – 3000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 по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ещением детских лагерей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(не пришкольных)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связи с призывом на мобилизацию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членов профсоюза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5000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случаях, не предусмотренных данным Положением, заявление члена Профсоюза рассматривается на президиуме районного комитета в особом порядке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4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Основанием для оказания материальной помощи членам Профсоюза является личное заявление, в котором указывается причина, по которой он обращается за оказанием материальной помощи,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а также профсоюзный стаж.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В зависимости от причины обращения за материальной помощью членами Профсоюза представляются следующие документы: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.1. В связи с чрезвычайными обстоятельствами – справки, выданные органами местного самоуправления.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.2. В случае смерти члена Профсоюза (члена семьи) – копия свидетельства о смерти и документ, подтверждающий родство (копия свидетельства о браке, рождении). При этом к членам семьи относятся родители, супруг(а), дети члена профсоюза.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.3. При наступлении заболевания, требующего хирургической операции, стационарного лечения, длительного амбулаторного лечения – выписка из решения профкома или ходатайство первичной профсоюзной организации,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справка из медицинского учреждения об оплате услуг (при оплате медицинских услуг).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.4. При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повреждении или уничтожении имущества – справка соответствующих органов власти.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6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Оказание материальной помощи членам Профсоюза не должно носить регулярный характер.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7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Расходы организаций Профсоюза на материальную помощь производятся в пределах суммы по статье «Материальная помощь» согласно смете, утвержденной соответствующим выборным коллегиальным постоянно действующим руководящим органом организации Профсоюза.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8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Выплата материальной помощи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конкретному лицу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производится по платежным документам согласно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порядку ведения кассовых операций,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в организации Профсоюза.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9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Материальная помощь оказывается в размере от 1000 рублей до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10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000 рублей. Размер материальной помощи определяется на заседании президиума при рассмотрении каждого заявления индивидуально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10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В случае смерти члена профсоюза денежные средства перечисляются председателю ППО на банковскую карту под отчёт. Председатель передаёт деньги близким родственникам умершего по акту передачи денежных средств.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val="en-US"/>
        </w:rPr>
        <w:t xml:space="preserve">III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. ЗАКЛЮЧИТЕЛЬНЫЕ ПОЛОЖЕНИЯ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="Times New Roman" w:cs="Times New Roman"/>
          <w:bCs/>
          <w:sz w:val="28"/>
          <w:szCs w:val="28"/>
        </w:rPr>
        <w:outlineLvl w:val="2"/>
      </w:pP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11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. В соответствии с пунктом 31 статьи 217 Налогового кодекса Российской Федерации н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 подлежат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налогообложению (освобождаются от налогообложения) выплаты, производимые профсоюзными комитетами (в том числе материальная помощь) членам профсоюзов за счет членских взносов, за исключением вознаграждений и иных выплат за выполнение трудовых обязанностей.</w:t>
      </w:r>
      <w:r>
        <w:rPr>
          <w:rFonts w:ascii="Times New Roman" w:hAnsi="Times New Roman" w:eastAsia="Times New Roman" w:cs="Times New Roman"/>
          <w:bCs/>
          <w:sz w:val="28"/>
          <w:szCs w:val="28"/>
        </w:rPr>
      </w:r>
    </w:p>
    <w:p>
      <w:pPr>
        <w:ind w:firstLine="709"/>
        <w:jc w:val="both"/>
        <w:spacing w:after="0" w:line="240" w:lineRule="auto"/>
        <w:tabs>
          <w:tab w:val="left" w:pos="7270" w:leader="none"/>
        </w:tabs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12.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 Контроль за соблюдением установленного в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 организации Профсоюза порядка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оказания материальной помощи членам Профсоюза 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осуществляется вышестоящими органами Профсоюза и контрольно-ревизионными комиссиями соответствующих профсоюзных организаций. </w:t>
      </w:r>
      <w:r>
        <w:rPr>
          <w:rFonts w:ascii="Times New Roman" w:hAnsi="Times New Roman" w:eastAsia="Times New Roman" w:cs="Times New Roman"/>
          <w:bCs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jc w:val="center"/>
        <w:spacing w:after="0" w:line="240" w:lineRule="auto"/>
      </w:pPr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9"/>
    <w:next w:val="619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20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9"/>
    <w:next w:val="61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0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9"/>
    <w:next w:val="619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0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9"/>
    <w:next w:val="61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0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9"/>
    <w:next w:val="61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0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9"/>
    <w:next w:val="61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0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9"/>
    <w:next w:val="61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0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9"/>
    <w:next w:val="61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0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9"/>
    <w:next w:val="61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0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9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9"/>
    <w:next w:val="61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0"/>
    <w:link w:val="34"/>
    <w:uiPriority w:val="10"/>
    <w:rPr>
      <w:sz w:val="48"/>
      <w:szCs w:val="48"/>
    </w:rPr>
  </w:style>
  <w:style w:type="paragraph" w:styleId="36">
    <w:name w:val="Subtitle"/>
    <w:basedOn w:val="619"/>
    <w:next w:val="61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0"/>
    <w:link w:val="36"/>
    <w:uiPriority w:val="11"/>
    <w:rPr>
      <w:sz w:val="24"/>
      <w:szCs w:val="24"/>
    </w:rPr>
  </w:style>
  <w:style w:type="paragraph" w:styleId="38">
    <w:name w:val="Quote"/>
    <w:basedOn w:val="619"/>
    <w:next w:val="61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9"/>
    <w:next w:val="61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9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0"/>
    <w:link w:val="42"/>
    <w:uiPriority w:val="99"/>
  </w:style>
  <w:style w:type="paragraph" w:styleId="44">
    <w:name w:val="Footer"/>
    <w:basedOn w:val="619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0"/>
    <w:link w:val="44"/>
    <w:uiPriority w:val="99"/>
  </w:style>
  <w:style w:type="paragraph" w:styleId="46">
    <w:name w:val="Caption"/>
    <w:basedOn w:val="619"/>
    <w:next w:val="619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20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2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0"/>
    <w:uiPriority w:val="99"/>
    <w:unhideWhenUsed/>
    <w:rPr>
      <w:vertAlign w:val="superscript"/>
    </w:rPr>
  </w:style>
  <w:style w:type="paragraph" w:styleId="178">
    <w:name w:val="endnote text"/>
    <w:basedOn w:val="61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0"/>
    <w:uiPriority w:val="99"/>
    <w:semiHidden/>
    <w:unhideWhenUsed/>
    <w:rPr>
      <w:vertAlign w:val="superscript"/>
    </w:rPr>
  </w:style>
  <w:style w:type="paragraph" w:styleId="181">
    <w:name w:val="toc 1"/>
    <w:basedOn w:val="619"/>
    <w:next w:val="61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9"/>
    <w:next w:val="61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9"/>
    <w:next w:val="61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9"/>
    <w:next w:val="61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9"/>
    <w:next w:val="61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9"/>
    <w:next w:val="61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9"/>
    <w:next w:val="61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9"/>
    <w:next w:val="61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9"/>
    <w:next w:val="61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9"/>
    <w:next w:val="619"/>
    <w:uiPriority w:val="99"/>
    <w:unhideWhenUsed/>
    <w:pPr>
      <w:spacing w:after="0" w:afterAutospacing="0"/>
    </w:pPr>
  </w:style>
  <w:style w:type="paragraph" w:styleId="619" w:default="1">
    <w:name w:val="Normal"/>
    <w:qFormat/>
  </w:style>
  <w:style w:type="character" w:styleId="620" w:default="1">
    <w:name w:val="Default Paragraph Font"/>
    <w:uiPriority w:val="1"/>
    <w:semiHidden/>
    <w:unhideWhenUsed/>
  </w:style>
  <w:style w:type="table" w:styleId="62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2" w:default="1">
    <w:name w:val="No List"/>
    <w:uiPriority w:val="99"/>
    <w:semiHidden/>
    <w:unhideWhenUsed/>
  </w:style>
  <w:style w:type="paragraph" w:styleId="623">
    <w:name w:val="Balloon Text"/>
    <w:basedOn w:val="619"/>
    <w:link w:val="62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624" w:customStyle="1">
    <w:name w:val="Текст выноски Знак"/>
    <w:basedOn w:val="620"/>
    <w:link w:val="62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r7-office/2024.4.2.721</Application>
  <Company>Reanimator Extreme Edition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Наталья Иванова</cp:lastModifiedBy>
  <cp:revision>7</cp:revision>
  <dcterms:created xsi:type="dcterms:W3CDTF">2026-01-27T18:37:00Z</dcterms:created>
  <dcterms:modified xsi:type="dcterms:W3CDTF">2026-02-26T06:43:38Z</dcterms:modified>
</cp:coreProperties>
</file>